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DC2E2" w14:textId="3E30C38B" w:rsidR="001C3C0B" w:rsidRDefault="00025F99" w:rsidP="00735748">
      <w:pPr>
        <w:spacing w:after="0" w:line="240" w:lineRule="auto"/>
        <w:jc w:val="center"/>
      </w:pPr>
      <w:r>
        <w:t>BXQ-350</w:t>
      </w:r>
      <w:r w:rsidR="0021153E">
        <w:t>:</w:t>
      </w:r>
      <w:r w:rsidR="006638B3">
        <w:t xml:space="preserve"> </w:t>
      </w:r>
      <w:r w:rsidR="000404DE">
        <w:t>A</w:t>
      </w:r>
      <w:r w:rsidR="00477CC2">
        <w:t xml:space="preserve"> </w:t>
      </w:r>
      <w:r w:rsidR="000404DE">
        <w:t>n</w:t>
      </w:r>
      <w:r w:rsidR="00477CC2">
        <w:t xml:space="preserve">ovel </w:t>
      </w:r>
      <w:r w:rsidR="000404DE">
        <w:t>b</w:t>
      </w:r>
      <w:r w:rsidR="00531255">
        <w:t xml:space="preserve">iologic </w:t>
      </w:r>
      <w:r w:rsidR="00DC0B48">
        <w:t xml:space="preserve">that </w:t>
      </w:r>
      <w:r w:rsidR="000404DE">
        <w:t>a</w:t>
      </w:r>
      <w:r w:rsidR="00DC0B48">
        <w:t xml:space="preserve">llosterically </w:t>
      </w:r>
      <w:r w:rsidR="000404DE">
        <w:t>a</w:t>
      </w:r>
      <w:r w:rsidR="0053508C">
        <w:t>ctivates</w:t>
      </w:r>
      <w:r w:rsidR="00DC0B48">
        <w:t xml:space="preserve"> </w:t>
      </w:r>
      <w:proofErr w:type="spellStart"/>
      <w:r w:rsidR="000404DE">
        <w:t>g</w:t>
      </w:r>
      <w:r w:rsidR="00DC0B48">
        <w:t>l</w:t>
      </w:r>
      <w:r w:rsidR="0054600D">
        <w:t>ucosylce</w:t>
      </w:r>
      <w:r w:rsidR="00084BC4">
        <w:t>rebrosidase</w:t>
      </w:r>
      <w:proofErr w:type="spellEnd"/>
      <w:r w:rsidR="0054600D">
        <w:t xml:space="preserve"> </w:t>
      </w:r>
      <w:r w:rsidR="00E63B4C">
        <w:t xml:space="preserve">and </w:t>
      </w:r>
      <w:r w:rsidR="00084BC4">
        <w:t>d</w:t>
      </w:r>
      <w:r w:rsidR="00D900E4">
        <w:t xml:space="preserve">emonstrates </w:t>
      </w:r>
      <w:r w:rsidR="00084BC4">
        <w:t>s</w:t>
      </w:r>
      <w:r w:rsidR="00D900E4">
        <w:t xml:space="preserve">igns of </w:t>
      </w:r>
      <w:r w:rsidR="00084BC4">
        <w:t>a</w:t>
      </w:r>
      <w:r w:rsidR="00D900E4">
        <w:t xml:space="preserve">ctivity in </w:t>
      </w:r>
      <w:r w:rsidR="00084BC4">
        <w:t>c</w:t>
      </w:r>
      <w:r w:rsidR="00D900E4">
        <w:t xml:space="preserve">ancer </w:t>
      </w:r>
      <w:proofErr w:type="gramStart"/>
      <w:r w:rsidR="00084BC4">
        <w:t>p</w:t>
      </w:r>
      <w:r w:rsidR="00D900E4">
        <w:t>atients</w:t>
      </w:r>
      <w:proofErr w:type="gramEnd"/>
    </w:p>
    <w:p w14:paraId="467ED2AA" w14:textId="77777777" w:rsidR="00DC1946" w:rsidRDefault="00DC1946" w:rsidP="00E96E3E">
      <w:pPr>
        <w:spacing w:line="240" w:lineRule="auto"/>
        <w:rPr>
          <w:rFonts w:cstheme="minorHAnsi"/>
        </w:rPr>
      </w:pPr>
    </w:p>
    <w:p w14:paraId="798E4B47" w14:textId="77777777" w:rsidR="005D44B8" w:rsidRDefault="005D44B8" w:rsidP="005D44B8">
      <w:pPr>
        <w:spacing w:after="0" w:line="240" w:lineRule="auto"/>
        <w:jc w:val="both"/>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Background: </w:t>
      </w:r>
    </w:p>
    <w:p w14:paraId="0F6FF387" w14:textId="77777777" w:rsidR="005D44B8" w:rsidRDefault="005D44B8" w:rsidP="005D44B8">
      <w:pPr>
        <w:spacing w:after="0" w:line="240" w:lineRule="auto"/>
        <w:jc w:val="both"/>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Ceramides, </w:t>
      </w:r>
      <w:proofErr w:type="gramStart"/>
      <w:r>
        <w:rPr>
          <w:rFonts w:ascii="Segoe UI" w:hAnsi="Segoe UI" w:cs="Segoe UI"/>
          <w:color w:val="000000"/>
          <w:sz w:val="21"/>
          <w:szCs w:val="21"/>
          <w:shd w:val="clear" w:color="auto" w:fill="FFFFFF"/>
        </w:rPr>
        <w:t>glucosylceramides</w:t>
      </w:r>
      <w:proofErr w:type="gramEnd"/>
      <w:r>
        <w:rPr>
          <w:rFonts w:ascii="Segoe UI" w:hAnsi="Segoe UI" w:cs="Segoe UI"/>
          <w:color w:val="000000"/>
          <w:sz w:val="21"/>
          <w:szCs w:val="21"/>
          <w:shd w:val="clear" w:color="auto" w:fill="FFFFFF"/>
        </w:rPr>
        <w:t xml:space="preserve"> and sphingosine-1-phosphate (S1P) are key bioactive signaling molecules. Ceramides are proapoptotic and mitigate chemoresistance while glucosylceramides and S1P promote cancer cell proliferation, activate multiple oncogenic pathways, promote chemoresistance and stimulate a pro-tumoral microenvironment. Many studies have shown a better prognosis and longer survival for patients with high ceramides levels, while high S1P and glucosylceramides levels are associated with shorter survival and worst prognosis. Levels of ceramides, glucosylceramides and S1P are controlled by enzymes involved in sphingolipid metabolism, including </w:t>
      </w:r>
      <w:proofErr w:type="spellStart"/>
      <w:r>
        <w:rPr>
          <w:rFonts w:ascii="Segoe UI" w:hAnsi="Segoe UI" w:cs="Segoe UI"/>
          <w:color w:val="000000"/>
          <w:sz w:val="21"/>
          <w:szCs w:val="21"/>
          <w:shd w:val="clear" w:color="auto" w:fill="FFFFFF"/>
        </w:rPr>
        <w:t>glucosylcerebrosidase</w:t>
      </w:r>
      <w:proofErr w:type="spellEnd"/>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Gcase</w:t>
      </w:r>
      <w:proofErr w:type="spellEnd"/>
      <w:r>
        <w:rPr>
          <w:rFonts w:ascii="Segoe UI" w:hAnsi="Segoe UI" w:cs="Segoe UI"/>
          <w:color w:val="000000"/>
          <w:sz w:val="21"/>
          <w:szCs w:val="21"/>
          <w:shd w:val="clear" w:color="auto" w:fill="FFFFFF"/>
        </w:rPr>
        <w:t>) and sphingosine kinase (</w:t>
      </w:r>
      <w:proofErr w:type="spellStart"/>
      <w:r>
        <w:rPr>
          <w:rFonts w:ascii="Segoe UI" w:hAnsi="Segoe UI" w:cs="Segoe UI"/>
          <w:color w:val="000000"/>
          <w:sz w:val="21"/>
          <w:szCs w:val="21"/>
          <w:shd w:val="clear" w:color="auto" w:fill="FFFFFF"/>
        </w:rPr>
        <w:t>Sphk</w:t>
      </w:r>
      <w:proofErr w:type="spellEnd"/>
      <w:r>
        <w:rPr>
          <w:rFonts w:ascii="Segoe UI" w:hAnsi="Segoe UI" w:cs="Segoe UI"/>
          <w:color w:val="000000"/>
          <w:sz w:val="21"/>
          <w:szCs w:val="21"/>
          <w:shd w:val="clear" w:color="auto" w:fill="FFFFFF"/>
        </w:rPr>
        <w:t xml:space="preserve">). </w:t>
      </w:r>
    </w:p>
    <w:p w14:paraId="1DF7C018" w14:textId="77777777" w:rsidR="005D44B8" w:rsidRDefault="005D44B8" w:rsidP="005D44B8">
      <w:pPr>
        <w:spacing w:after="0" w:line="240" w:lineRule="auto"/>
        <w:jc w:val="both"/>
        <w:rPr>
          <w:rFonts w:ascii="Segoe UI" w:hAnsi="Segoe UI" w:cs="Segoe UI"/>
          <w:color w:val="000000"/>
          <w:sz w:val="21"/>
          <w:szCs w:val="21"/>
          <w:shd w:val="clear" w:color="auto" w:fill="FFFFFF"/>
        </w:rPr>
      </w:pPr>
    </w:p>
    <w:p w14:paraId="2FEDDDFB" w14:textId="77777777" w:rsidR="005D44B8" w:rsidRDefault="005D44B8" w:rsidP="005D44B8">
      <w:pPr>
        <w:spacing w:after="0" w:line="240" w:lineRule="auto"/>
        <w:jc w:val="both"/>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Methods: BXQ-350 is a nanovesicle of </w:t>
      </w:r>
      <w:proofErr w:type="spellStart"/>
      <w:r>
        <w:rPr>
          <w:rFonts w:ascii="Segoe UI" w:hAnsi="Segoe UI" w:cs="Segoe UI"/>
          <w:color w:val="000000"/>
          <w:sz w:val="21"/>
          <w:szCs w:val="21"/>
          <w:shd w:val="clear" w:color="auto" w:fill="FFFFFF"/>
        </w:rPr>
        <w:t>Saposin</w:t>
      </w:r>
      <w:proofErr w:type="spellEnd"/>
      <w:r>
        <w:rPr>
          <w:rFonts w:ascii="Segoe UI" w:hAnsi="Segoe UI" w:cs="Segoe UI"/>
          <w:color w:val="000000"/>
          <w:sz w:val="21"/>
          <w:szCs w:val="21"/>
          <w:shd w:val="clear" w:color="auto" w:fill="FFFFFF"/>
        </w:rPr>
        <w:t xml:space="preserve"> C, an allosteric activator of enzymes involved in sphingolipid metabolism; preclinically, BXQ-350 was investigated in different </w:t>
      </w:r>
      <w:r>
        <w:rPr>
          <w:rFonts w:ascii="Segoe UI" w:hAnsi="Segoe UI" w:cs="Segoe UI"/>
          <w:i/>
          <w:iCs/>
          <w:color w:val="000000"/>
          <w:sz w:val="21"/>
          <w:szCs w:val="21"/>
        </w:rPr>
        <w:t>in vitro</w:t>
      </w:r>
      <w:r>
        <w:rPr>
          <w:rFonts w:ascii="Segoe UI" w:hAnsi="Segoe UI" w:cs="Segoe UI"/>
          <w:color w:val="000000"/>
          <w:sz w:val="21"/>
          <w:szCs w:val="21"/>
          <w:shd w:val="clear" w:color="auto" w:fill="FFFFFF"/>
        </w:rPr>
        <w:t> and </w:t>
      </w:r>
      <w:r>
        <w:rPr>
          <w:rFonts w:ascii="Segoe UI" w:hAnsi="Segoe UI" w:cs="Segoe UI"/>
          <w:i/>
          <w:iCs/>
          <w:color w:val="000000"/>
          <w:sz w:val="21"/>
          <w:szCs w:val="21"/>
        </w:rPr>
        <w:t>in vivo</w:t>
      </w:r>
      <w:r>
        <w:rPr>
          <w:rFonts w:ascii="Segoe UI" w:hAnsi="Segoe UI" w:cs="Segoe UI"/>
          <w:color w:val="000000"/>
          <w:sz w:val="21"/>
          <w:szCs w:val="21"/>
          <w:shd w:val="clear" w:color="auto" w:fill="FFFFFF"/>
        </w:rPr>
        <w:t> models. Clinically, BXQ-350 was investigated in a first-in-human Phase 1 safety dose and escalation study in cancer patients with recurrent advanced solid malignancies (NCT02859857).</w:t>
      </w:r>
    </w:p>
    <w:p w14:paraId="46CB508E" w14:textId="77777777" w:rsidR="005D44B8" w:rsidRDefault="005D44B8" w:rsidP="005D44B8">
      <w:pPr>
        <w:spacing w:after="0" w:line="240" w:lineRule="auto"/>
        <w:jc w:val="both"/>
        <w:rPr>
          <w:rFonts w:ascii="Segoe UI" w:hAnsi="Segoe UI" w:cs="Segoe UI"/>
          <w:color w:val="000000"/>
          <w:sz w:val="21"/>
          <w:szCs w:val="21"/>
          <w:shd w:val="clear" w:color="auto" w:fill="FFFFFF"/>
        </w:rPr>
      </w:pPr>
    </w:p>
    <w:p w14:paraId="32A5C9FB" w14:textId="35BDB33B" w:rsidR="005D44B8" w:rsidRDefault="005D44B8" w:rsidP="005D44B8">
      <w:pPr>
        <w:spacing w:after="0" w:line="240" w:lineRule="auto"/>
        <w:jc w:val="both"/>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Results: Preclinical results demonstrated that BXQ-350 allosterically activates </w:t>
      </w:r>
      <w:proofErr w:type="spellStart"/>
      <w:r>
        <w:rPr>
          <w:rFonts w:ascii="Segoe UI" w:hAnsi="Segoe UI" w:cs="Segoe UI"/>
          <w:color w:val="000000"/>
          <w:sz w:val="21"/>
          <w:szCs w:val="21"/>
          <w:shd w:val="clear" w:color="auto" w:fill="FFFFFF"/>
        </w:rPr>
        <w:t>Gcase</w:t>
      </w:r>
      <w:proofErr w:type="spellEnd"/>
      <w:r>
        <w:rPr>
          <w:rFonts w:ascii="Segoe UI" w:hAnsi="Segoe UI" w:cs="Segoe UI"/>
          <w:color w:val="000000"/>
          <w:sz w:val="21"/>
          <w:szCs w:val="21"/>
          <w:shd w:val="clear" w:color="auto" w:fill="FFFFFF"/>
        </w:rPr>
        <w:t> </w:t>
      </w:r>
      <w:r>
        <w:rPr>
          <w:rFonts w:ascii="Segoe UI" w:hAnsi="Segoe UI" w:cs="Segoe UI"/>
          <w:i/>
          <w:iCs/>
          <w:color w:val="000000"/>
          <w:sz w:val="21"/>
          <w:szCs w:val="21"/>
        </w:rPr>
        <w:t>in vitro</w:t>
      </w:r>
      <w:r>
        <w:rPr>
          <w:rFonts w:ascii="Segoe UI" w:hAnsi="Segoe UI" w:cs="Segoe UI"/>
          <w:color w:val="000000"/>
          <w:sz w:val="21"/>
          <w:szCs w:val="21"/>
          <w:shd w:val="clear" w:color="auto" w:fill="FFFFFF"/>
        </w:rPr>
        <w:t>, in cells and </w:t>
      </w:r>
      <w:r>
        <w:rPr>
          <w:rFonts w:ascii="Segoe UI" w:hAnsi="Segoe UI" w:cs="Segoe UI"/>
          <w:i/>
          <w:iCs/>
          <w:color w:val="000000"/>
          <w:sz w:val="21"/>
          <w:szCs w:val="21"/>
        </w:rPr>
        <w:t>in vivo</w:t>
      </w:r>
      <w:r>
        <w:rPr>
          <w:rFonts w:ascii="Segoe UI" w:hAnsi="Segoe UI" w:cs="Segoe UI"/>
          <w:color w:val="000000"/>
          <w:sz w:val="21"/>
          <w:szCs w:val="21"/>
          <w:shd w:val="clear" w:color="auto" w:fill="FFFFFF"/>
        </w:rPr>
        <w:t> in a significant and dose-dependent manner; as expected, </w:t>
      </w:r>
      <w:r>
        <w:rPr>
          <w:rFonts w:ascii="Segoe UI" w:hAnsi="Segoe UI" w:cs="Segoe UI"/>
          <w:i/>
          <w:iCs/>
          <w:color w:val="000000"/>
          <w:sz w:val="21"/>
          <w:szCs w:val="21"/>
        </w:rPr>
        <w:t>in vivo</w:t>
      </w:r>
      <w:r>
        <w:rPr>
          <w:rFonts w:ascii="Segoe UI" w:hAnsi="Segoe UI" w:cs="Segoe UI"/>
          <w:color w:val="000000"/>
          <w:sz w:val="21"/>
          <w:szCs w:val="21"/>
          <w:shd w:val="clear" w:color="auto" w:fill="FFFFFF"/>
        </w:rPr>
        <w:t xml:space="preserve">, </w:t>
      </w:r>
      <w:proofErr w:type="spellStart"/>
      <w:r>
        <w:rPr>
          <w:rFonts w:ascii="Segoe UI" w:hAnsi="Segoe UI" w:cs="Segoe UI"/>
          <w:color w:val="000000"/>
          <w:sz w:val="21"/>
          <w:szCs w:val="21"/>
          <w:shd w:val="clear" w:color="auto" w:fill="FFFFFF"/>
        </w:rPr>
        <w:t>Gcase</w:t>
      </w:r>
      <w:proofErr w:type="spellEnd"/>
      <w:r>
        <w:rPr>
          <w:rFonts w:ascii="Segoe UI" w:hAnsi="Segoe UI" w:cs="Segoe UI"/>
          <w:color w:val="000000"/>
          <w:sz w:val="21"/>
          <w:szCs w:val="21"/>
          <w:shd w:val="clear" w:color="auto" w:fill="FFFFFF"/>
        </w:rPr>
        <w:t xml:space="preserve"> activation results in lower levels of glucosylceramides, as much as 2/3 lower for picomolar concentrations of BXQ-350. An increase in ceramides and a decrease in S1P are also observed. By impacting glucosylceramides, ceramides and S1P, BXQ-350 rebalances the S1P/ceramide rheostat in favor of an antitumoral state and homeostasis. By lowering S1P and glucosylceramides, BXQ-350 modulates the innate and adaptive immune response and repolarizes macrophages towards the antitumoral M1 phenotype, inhibits differentiation and activity of immunosuppressor of MDSCs, and promotes the proliferation of CD4+ and CD8+ </w:t>
      </w:r>
      <w:proofErr w:type="spellStart"/>
      <w:r>
        <w:rPr>
          <w:rFonts w:ascii="Segoe UI" w:hAnsi="Segoe UI" w:cs="Segoe UI"/>
          <w:color w:val="000000"/>
          <w:sz w:val="21"/>
          <w:szCs w:val="21"/>
          <w:shd w:val="clear" w:color="auto" w:fill="FFFFFF"/>
        </w:rPr>
        <w:t>Tcells</w:t>
      </w:r>
      <w:proofErr w:type="spellEnd"/>
      <w:r>
        <w:rPr>
          <w:rFonts w:ascii="Segoe UI" w:hAnsi="Segoe UI" w:cs="Segoe UI"/>
          <w:color w:val="000000"/>
          <w:sz w:val="21"/>
          <w:szCs w:val="21"/>
          <w:shd w:val="clear" w:color="auto" w:fill="FFFFFF"/>
        </w:rPr>
        <w:t xml:space="preserve"> as well as their activity. Clinical results showed BXQ-350 was safe and well-tolerated (no DLT, no MTD). Also, 13 patients (~17.8% of evaluable patients) had a clinical benefit up to cycle 6 and beyond (PR, SD). Among patients with PFS &gt; 6 months, there were 4 recurrent CRC patients: 1 patient had a PFS of ~12 months, 2 of ~18 months, and 1 is still on study after 6 years. Furthermore, there were signs that BXQ-350 may alleviate symptoms of CIPN as 4 out of 10 patients with chronic CIPN at time of enrollment experienced an improvement of their symptoms. </w:t>
      </w:r>
    </w:p>
    <w:p w14:paraId="25CC09C7" w14:textId="77777777" w:rsidR="005D44B8" w:rsidRDefault="005D44B8" w:rsidP="005D44B8">
      <w:pPr>
        <w:spacing w:after="0" w:line="240" w:lineRule="auto"/>
        <w:jc w:val="both"/>
        <w:rPr>
          <w:rFonts w:ascii="Segoe UI" w:hAnsi="Segoe UI" w:cs="Segoe UI"/>
          <w:color w:val="000000"/>
          <w:sz w:val="21"/>
          <w:szCs w:val="21"/>
          <w:shd w:val="clear" w:color="auto" w:fill="FFFFFF"/>
        </w:rPr>
      </w:pPr>
    </w:p>
    <w:p w14:paraId="07400159" w14:textId="25D98B91" w:rsidR="0024624A" w:rsidRDefault="005D44B8" w:rsidP="005D44B8">
      <w:pPr>
        <w:spacing w:after="0" w:line="240" w:lineRule="auto"/>
        <w:jc w:val="both"/>
      </w:pPr>
      <w:r>
        <w:rPr>
          <w:rFonts w:ascii="Segoe UI" w:hAnsi="Segoe UI" w:cs="Segoe UI"/>
          <w:color w:val="000000"/>
          <w:sz w:val="21"/>
          <w:szCs w:val="21"/>
          <w:shd w:val="clear" w:color="auto" w:fill="FFFFFF"/>
        </w:rPr>
        <w:t xml:space="preserve">Conclusions: Preclinical and clinical results demonstrated that BXQ-350 activates </w:t>
      </w:r>
      <w:proofErr w:type="spellStart"/>
      <w:r>
        <w:rPr>
          <w:rFonts w:ascii="Segoe UI" w:hAnsi="Segoe UI" w:cs="Segoe UI"/>
          <w:color w:val="000000"/>
          <w:sz w:val="21"/>
          <w:szCs w:val="21"/>
          <w:shd w:val="clear" w:color="auto" w:fill="FFFFFF"/>
        </w:rPr>
        <w:t>Gcase</w:t>
      </w:r>
      <w:proofErr w:type="spellEnd"/>
      <w:r>
        <w:rPr>
          <w:rFonts w:ascii="Segoe UI" w:hAnsi="Segoe UI" w:cs="Segoe UI"/>
          <w:color w:val="000000"/>
          <w:sz w:val="21"/>
          <w:szCs w:val="21"/>
          <w:shd w:val="clear" w:color="auto" w:fill="FFFFFF"/>
        </w:rPr>
        <w:t xml:space="preserve"> and modulates sphingolipid metabolism leading to a novel anticancer MOA that had not been clinically tested. Additional studies are ongoing to further elucidate BXQ-350’s MOA.</w:t>
      </w:r>
    </w:p>
    <w:sectPr w:rsidR="00246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97863"/>
    <w:multiLevelType w:val="multilevel"/>
    <w:tmpl w:val="12489EC8"/>
    <w:lvl w:ilvl="0">
      <w:start w:val="1"/>
      <w:numFmt w:val="decimal"/>
      <w:lvlRestart w:val="0"/>
      <w:pStyle w:val="Heading1"/>
      <w:lvlText w:val="%1"/>
      <w:lvlJc w:val="left"/>
      <w:pPr>
        <w:ind w:left="547" w:hanging="547"/>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936" w:hanging="936"/>
      </w:pPr>
      <w:rPr>
        <w:rFonts w:hint="default"/>
      </w:rPr>
    </w:lvl>
    <w:lvl w:ilvl="3">
      <w:start w:val="1"/>
      <w:numFmt w:val="decimal"/>
      <w:pStyle w:val="Heading4"/>
      <w:lvlText w:val="%1.%2.%3.%4"/>
      <w:lvlJc w:val="left"/>
      <w:pPr>
        <w:ind w:left="1166" w:hanging="1166"/>
      </w:pPr>
      <w:rPr>
        <w:rFonts w:hint="default"/>
      </w:rPr>
    </w:lvl>
    <w:lvl w:ilvl="4">
      <w:start w:val="1"/>
      <w:numFmt w:val="decimal"/>
      <w:pStyle w:val="Heading5"/>
      <w:lvlText w:val="%1.%2.%3.%4.%5"/>
      <w:lvlJc w:val="left"/>
      <w:pPr>
        <w:ind w:left="1368" w:hanging="1368"/>
      </w:pPr>
      <w:rPr>
        <w:rFonts w:hint="default"/>
      </w:rPr>
    </w:lvl>
    <w:lvl w:ilvl="5">
      <w:start w:val="1"/>
      <w:numFmt w:val="decimal"/>
      <w:pStyle w:val="Heading6"/>
      <w:lvlText w:val="%1.%2.%3.%4.%5.%6"/>
      <w:lvlJc w:val="left"/>
      <w:pPr>
        <w:ind w:left="1490" w:hanging="1490"/>
      </w:pPr>
      <w:rPr>
        <w:rFonts w:hint="default"/>
      </w:rPr>
    </w:lvl>
    <w:lvl w:ilvl="6">
      <w:start w:val="1"/>
      <w:numFmt w:val="decimal"/>
      <w:pStyle w:val="Heading7"/>
      <w:lvlText w:val="%1.%2.%3.%4.%5.%6.%7"/>
      <w:lvlJc w:val="left"/>
      <w:pPr>
        <w:ind w:left="1670" w:hanging="1670"/>
      </w:pPr>
      <w:rPr>
        <w:rFonts w:hint="default"/>
      </w:rPr>
    </w:lvl>
    <w:lvl w:ilvl="7">
      <w:start w:val="1"/>
      <w:numFmt w:val="decimal"/>
      <w:pStyle w:val="Heading8"/>
      <w:lvlText w:val="%1.%2.%3.%4.%5.%6.%7.%8"/>
      <w:lvlJc w:val="left"/>
      <w:pPr>
        <w:ind w:left="1836" w:hanging="1836"/>
      </w:pPr>
      <w:rPr>
        <w:rFonts w:hint="default"/>
      </w:rPr>
    </w:lvl>
    <w:lvl w:ilvl="8">
      <w:start w:val="1"/>
      <w:numFmt w:val="decimal"/>
      <w:pStyle w:val="Heading9"/>
      <w:lvlText w:val="%1.%2.%3.%4.%5.%6.%7.%8.%9"/>
      <w:lvlJc w:val="left"/>
      <w:pPr>
        <w:ind w:left="1987" w:hanging="1987"/>
      </w:pPr>
      <w:rPr>
        <w:rFonts w:hint="default"/>
      </w:rPr>
    </w:lvl>
  </w:abstractNum>
  <w:abstractNum w:abstractNumId="1" w15:restartNumberingAfterBreak="0">
    <w:nsid w:val="72B44546"/>
    <w:multiLevelType w:val="hybridMultilevel"/>
    <w:tmpl w:val="8DA0A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3029202">
    <w:abstractNumId w:val="1"/>
  </w:num>
  <w:num w:numId="2" w16cid:durableId="1711145974">
    <w:abstractNumId w:val="0"/>
    <w:lvlOverride w:ilvl="0">
      <w:lvl w:ilvl="0">
        <w:start w:val="1"/>
        <w:numFmt w:val="decimal"/>
        <w:lvlRestart w:val="0"/>
        <w:pStyle w:val="Heading1"/>
        <w:lvlText w:val="%1"/>
        <w:lvlJc w:val="left"/>
        <w:pPr>
          <w:ind w:left="547" w:hanging="547"/>
        </w:pPr>
        <w:rPr>
          <w:rFonts w:hint="default"/>
        </w:rPr>
      </w:lvl>
    </w:lvlOverride>
    <w:lvlOverride w:ilvl="1">
      <w:lvl w:ilvl="1">
        <w:start w:val="1"/>
        <w:numFmt w:val="decimal"/>
        <w:pStyle w:val="Heading2"/>
        <w:lvlText w:val="%1.%2"/>
        <w:lvlJc w:val="left"/>
        <w:pPr>
          <w:ind w:left="720" w:hanging="720"/>
        </w:pPr>
        <w:rPr>
          <w:rFonts w:hint="default"/>
        </w:rPr>
      </w:lvl>
    </w:lvlOverride>
    <w:lvlOverride w:ilvl="2">
      <w:lvl w:ilvl="2">
        <w:start w:val="1"/>
        <w:numFmt w:val="decimal"/>
        <w:pStyle w:val="Heading3"/>
        <w:lvlText w:val="%1.%2.%3"/>
        <w:lvlJc w:val="left"/>
        <w:pPr>
          <w:ind w:left="965" w:hanging="965"/>
        </w:pPr>
        <w:rPr>
          <w:rFonts w:hint="default"/>
        </w:rPr>
      </w:lvl>
    </w:lvlOverride>
    <w:lvlOverride w:ilvl="3">
      <w:lvl w:ilvl="3">
        <w:start w:val="1"/>
        <w:numFmt w:val="decimal"/>
        <w:pStyle w:val="Heading4"/>
        <w:lvlText w:val="%1.%2.%3.%4"/>
        <w:lvlJc w:val="left"/>
        <w:pPr>
          <w:ind w:left="1267" w:hanging="1267"/>
        </w:pPr>
        <w:rPr>
          <w:rFonts w:hint="default"/>
        </w:rPr>
      </w:lvl>
    </w:lvlOverride>
    <w:lvlOverride w:ilvl="4">
      <w:lvl w:ilvl="4">
        <w:start w:val="1"/>
        <w:numFmt w:val="decimal"/>
        <w:pStyle w:val="Heading5"/>
        <w:lvlText w:val="%1.%2.%3.%4.%5"/>
        <w:lvlJc w:val="left"/>
        <w:pPr>
          <w:ind w:left="1296" w:hanging="1296"/>
        </w:pPr>
        <w:rPr>
          <w:rFonts w:hint="default"/>
        </w:rPr>
      </w:lvl>
    </w:lvlOverride>
    <w:lvlOverride w:ilvl="5">
      <w:lvl w:ilvl="5">
        <w:start w:val="1"/>
        <w:numFmt w:val="decimal"/>
        <w:pStyle w:val="Heading6"/>
        <w:lvlText w:val="%1.%2.%3.%4.%5.%6"/>
        <w:lvlJc w:val="left"/>
        <w:pPr>
          <w:ind w:left="1490" w:hanging="1490"/>
        </w:pPr>
        <w:rPr>
          <w:rFonts w:hint="default"/>
        </w:rPr>
      </w:lvl>
    </w:lvlOverride>
    <w:lvlOverride w:ilvl="6">
      <w:lvl w:ilvl="6">
        <w:start w:val="1"/>
        <w:numFmt w:val="decimal"/>
        <w:pStyle w:val="Heading7"/>
        <w:lvlText w:val="%1.%2.%3.%4.%5.%6.%7"/>
        <w:lvlJc w:val="left"/>
        <w:pPr>
          <w:ind w:left="1670" w:hanging="1670"/>
        </w:pPr>
        <w:rPr>
          <w:rFonts w:hint="default"/>
        </w:rPr>
      </w:lvl>
    </w:lvlOverride>
    <w:lvlOverride w:ilvl="7">
      <w:lvl w:ilvl="7">
        <w:start w:val="1"/>
        <w:numFmt w:val="decimal"/>
        <w:pStyle w:val="Heading8"/>
        <w:lvlText w:val="%1.%2.%3.%4.%5.%6.%7.%8"/>
        <w:lvlJc w:val="left"/>
        <w:pPr>
          <w:ind w:left="1836" w:hanging="1836"/>
        </w:pPr>
        <w:rPr>
          <w:rFonts w:hint="default"/>
        </w:rPr>
      </w:lvl>
    </w:lvlOverride>
    <w:lvlOverride w:ilvl="8">
      <w:lvl w:ilvl="8">
        <w:start w:val="1"/>
        <w:numFmt w:val="decimal"/>
        <w:pStyle w:val="Heading9"/>
        <w:lvlText w:val="%1.%2.%3.%4.%5.%6.%7.%8.%9"/>
        <w:lvlJc w:val="left"/>
        <w:pPr>
          <w:ind w:left="1987" w:hanging="198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C0C"/>
    <w:rsid w:val="000025FA"/>
    <w:rsid w:val="00011C98"/>
    <w:rsid w:val="000137CB"/>
    <w:rsid w:val="00015E59"/>
    <w:rsid w:val="000201A3"/>
    <w:rsid w:val="000218BC"/>
    <w:rsid w:val="00025DA0"/>
    <w:rsid w:val="00025F99"/>
    <w:rsid w:val="00027AA9"/>
    <w:rsid w:val="00030239"/>
    <w:rsid w:val="0003230C"/>
    <w:rsid w:val="000404DE"/>
    <w:rsid w:val="0004112A"/>
    <w:rsid w:val="000445EB"/>
    <w:rsid w:val="00056A73"/>
    <w:rsid w:val="00056DB2"/>
    <w:rsid w:val="000641BC"/>
    <w:rsid w:val="00075644"/>
    <w:rsid w:val="00081922"/>
    <w:rsid w:val="000835BB"/>
    <w:rsid w:val="00084BC4"/>
    <w:rsid w:val="00085656"/>
    <w:rsid w:val="0009536F"/>
    <w:rsid w:val="000A7456"/>
    <w:rsid w:val="000A7654"/>
    <w:rsid w:val="000B0DEB"/>
    <w:rsid w:val="000B167B"/>
    <w:rsid w:val="000B46C6"/>
    <w:rsid w:val="000B5C91"/>
    <w:rsid w:val="000D3754"/>
    <w:rsid w:val="000D46C9"/>
    <w:rsid w:val="000D4934"/>
    <w:rsid w:val="000D503F"/>
    <w:rsid w:val="000D5136"/>
    <w:rsid w:val="000E32A0"/>
    <w:rsid w:val="000E5098"/>
    <w:rsid w:val="000F3281"/>
    <w:rsid w:val="001155D2"/>
    <w:rsid w:val="00125D02"/>
    <w:rsid w:val="0013206F"/>
    <w:rsid w:val="00136E76"/>
    <w:rsid w:val="00140E7B"/>
    <w:rsid w:val="00144C24"/>
    <w:rsid w:val="0014727C"/>
    <w:rsid w:val="00150FE3"/>
    <w:rsid w:val="00151E67"/>
    <w:rsid w:val="00152825"/>
    <w:rsid w:val="00156AA4"/>
    <w:rsid w:val="00157339"/>
    <w:rsid w:val="00160AB1"/>
    <w:rsid w:val="001720D4"/>
    <w:rsid w:val="001722B7"/>
    <w:rsid w:val="00180A30"/>
    <w:rsid w:val="0018323A"/>
    <w:rsid w:val="00192A6E"/>
    <w:rsid w:val="001979D6"/>
    <w:rsid w:val="001A783C"/>
    <w:rsid w:val="001C3C0B"/>
    <w:rsid w:val="001D2E7A"/>
    <w:rsid w:val="001D5472"/>
    <w:rsid w:val="001E6ADF"/>
    <w:rsid w:val="001F020F"/>
    <w:rsid w:val="00202C09"/>
    <w:rsid w:val="0020300D"/>
    <w:rsid w:val="00205CBF"/>
    <w:rsid w:val="0021153E"/>
    <w:rsid w:val="00220F9D"/>
    <w:rsid w:val="00221262"/>
    <w:rsid w:val="002228C9"/>
    <w:rsid w:val="002250A8"/>
    <w:rsid w:val="00236C28"/>
    <w:rsid w:val="002370CE"/>
    <w:rsid w:val="00244275"/>
    <w:rsid w:val="0024624A"/>
    <w:rsid w:val="00246D23"/>
    <w:rsid w:val="002522EA"/>
    <w:rsid w:val="00254C20"/>
    <w:rsid w:val="00270C20"/>
    <w:rsid w:val="002733A0"/>
    <w:rsid w:val="002778EA"/>
    <w:rsid w:val="002830DF"/>
    <w:rsid w:val="00290E17"/>
    <w:rsid w:val="002924FB"/>
    <w:rsid w:val="0029789E"/>
    <w:rsid w:val="002A0283"/>
    <w:rsid w:val="002A0A06"/>
    <w:rsid w:val="002A6FE5"/>
    <w:rsid w:val="002A7850"/>
    <w:rsid w:val="002B07B9"/>
    <w:rsid w:val="002B3E0F"/>
    <w:rsid w:val="002B4F75"/>
    <w:rsid w:val="002B5678"/>
    <w:rsid w:val="002B5D27"/>
    <w:rsid w:val="002C1A7F"/>
    <w:rsid w:val="002C6B0E"/>
    <w:rsid w:val="002D50B6"/>
    <w:rsid w:val="002F09FD"/>
    <w:rsid w:val="002F22A7"/>
    <w:rsid w:val="002F36AB"/>
    <w:rsid w:val="002F4FC2"/>
    <w:rsid w:val="00306EC1"/>
    <w:rsid w:val="00312484"/>
    <w:rsid w:val="00317971"/>
    <w:rsid w:val="003222A2"/>
    <w:rsid w:val="0033634D"/>
    <w:rsid w:val="003379E2"/>
    <w:rsid w:val="00341B8B"/>
    <w:rsid w:val="0034602C"/>
    <w:rsid w:val="00346404"/>
    <w:rsid w:val="00346F26"/>
    <w:rsid w:val="00351047"/>
    <w:rsid w:val="00351DC3"/>
    <w:rsid w:val="00355C12"/>
    <w:rsid w:val="003608A3"/>
    <w:rsid w:val="003649FC"/>
    <w:rsid w:val="00373C6F"/>
    <w:rsid w:val="0037573C"/>
    <w:rsid w:val="00375D79"/>
    <w:rsid w:val="003762CE"/>
    <w:rsid w:val="00384B41"/>
    <w:rsid w:val="0038668D"/>
    <w:rsid w:val="00391BCF"/>
    <w:rsid w:val="003941B7"/>
    <w:rsid w:val="003A0A7D"/>
    <w:rsid w:val="003A3128"/>
    <w:rsid w:val="003A7EB5"/>
    <w:rsid w:val="003B02F9"/>
    <w:rsid w:val="003B3B5F"/>
    <w:rsid w:val="003C2A38"/>
    <w:rsid w:val="003C69C9"/>
    <w:rsid w:val="003D00ED"/>
    <w:rsid w:val="003D2743"/>
    <w:rsid w:val="003D6482"/>
    <w:rsid w:val="003F3688"/>
    <w:rsid w:val="00415FDC"/>
    <w:rsid w:val="004221B2"/>
    <w:rsid w:val="00424AA5"/>
    <w:rsid w:val="00425CBD"/>
    <w:rsid w:val="00426A80"/>
    <w:rsid w:val="00430F8A"/>
    <w:rsid w:val="00433D95"/>
    <w:rsid w:val="00434512"/>
    <w:rsid w:val="00442618"/>
    <w:rsid w:val="00446BFD"/>
    <w:rsid w:val="00454841"/>
    <w:rsid w:val="00454BA1"/>
    <w:rsid w:val="00455AB7"/>
    <w:rsid w:val="00466DA1"/>
    <w:rsid w:val="00467154"/>
    <w:rsid w:val="00472DB0"/>
    <w:rsid w:val="00473479"/>
    <w:rsid w:val="00474EC4"/>
    <w:rsid w:val="00477CC2"/>
    <w:rsid w:val="00483862"/>
    <w:rsid w:val="00485D05"/>
    <w:rsid w:val="00491BA1"/>
    <w:rsid w:val="00494CA9"/>
    <w:rsid w:val="00497215"/>
    <w:rsid w:val="004A4968"/>
    <w:rsid w:val="004B3556"/>
    <w:rsid w:val="004B5F67"/>
    <w:rsid w:val="004C027E"/>
    <w:rsid w:val="004C0ADC"/>
    <w:rsid w:val="004C103B"/>
    <w:rsid w:val="004C3B0C"/>
    <w:rsid w:val="004D3287"/>
    <w:rsid w:val="004D38FD"/>
    <w:rsid w:val="004D4D03"/>
    <w:rsid w:val="004D4D29"/>
    <w:rsid w:val="004D6975"/>
    <w:rsid w:val="004D7643"/>
    <w:rsid w:val="004E2882"/>
    <w:rsid w:val="004E712D"/>
    <w:rsid w:val="004F1787"/>
    <w:rsid w:val="004F38FE"/>
    <w:rsid w:val="004F53F4"/>
    <w:rsid w:val="004F6AD5"/>
    <w:rsid w:val="00504741"/>
    <w:rsid w:val="00504D04"/>
    <w:rsid w:val="0051035B"/>
    <w:rsid w:val="00511EC9"/>
    <w:rsid w:val="0051210B"/>
    <w:rsid w:val="00513CBF"/>
    <w:rsid w:val="0052065B"/>
    <w:rsid w:val="00522F41"/>
    <w:rsid w:val="00524445"/>
    <w:rsid w:val="00527CF5"/>
    <w:rsid w:val="00531255"/>
    <w:rsid w:val="0053508C"/>
    <w:rsid w:val="00535E1E"/>
    <w:rsid w:val="00542201"/>
    <w:rsid w:val="00542C24"/>
    <w:rsid w:val="0054425A"/>
    <w:rsid w:val="0054600D"/>
    <w:rsid w:val="00547849"/>
    <w:rsid w:val="005508E0"/>
    <w:rsid w:val="005518D3"/>
    <w:rsid w:val="005653BF"/>
    <w:rsid w:val="00565602"/>
    <w:rsid w:val="00566888"/>
    <w:rsid w:val="00570072"/>
    <w:rsid w:val="00573B23"/>
    <w:rsid w:val="00573CE4"/>
    <w:rsid w:val="00586C06"/>
    <w:rsid w:val="00591627"/>
    <w:rsid w:val="00595E57"/>
    <w:rsid w:val="005B184C"/>
    <w:rsid w:val="005B22AF"/>
    <w:rsid w:val="005B4DD4"/>
    <w:rsid w:val="005C3783"/>
    <w:rsid w:val="005D162C"/>
    <w:rsid w:val="005D44B8"/>
    <w:rsid w:val="005D72DE"/>
    <w:rsid w:val="005E2DCF"/>
    <w:rsid w:val="005E60F2"/>
    <w:rsid w:val="005F3F71"/>
    <w:rsid w:val="005F425E"/>
    <w:rsid w:val="0060124C"/>
    <w:rsid w:val="006160E3"/>
    <w:rsid w:val="0062172D"/>
    <w:rsid w:val="00623790"/>
    <w:rsid w:val="00627677"/>
    <w:rsid w:val="00630FC2"/>
    <w:rsid w:val="00634E16"/>
    <w:rsid w:val="006414E0"/>
    <w:rsid w:val="00642C03"/>
    <w:rsid w:val="00644284"/>
    <w:rsid w:val="00646E81"/>
    <w:rsid w:val="0066111D"/>
    <w:rsid w:val="006636A4"/>
    <w:rsid w:val="006638B3"/>
    <w:rsid w:val="00664A25"/>
    <w:rsid w:val="00665364"/>
    <w:rsid w:val="00667A49"/>
    <w:rsid w:val="00670FE7"/>
    <w:rsid w:val="00672FF0"/>
    <w:rsid w:val="00680984"/>
    <w:rsid w:val="0068270A"/>
    <w:rsid w:val="00684CBE"/>
    <w:rsid w:val="006857E7"/>
    <w:rsid w:val="00685DFA"/>
    <w:rsid w:val="00687A1A"/>
    <w:rsid w:val="006B0AB6"/>
    <w:rsid w:val="006B2BD7"/>
    <w:rsid w:val="006B2C12"/>
    <w:rsid w:val="006B751A"/>
    <w:rsid w:val="006C7A5B"/>
    <w:rsid w:val="006D01F9"/>
    <w:rsid w:val="006D2839"/>
    <w:rsid w:val="006D4ED8"/>
    <w:rsid w:val="006D62B7"/>
    <w:rsid w:val="006D6B45"/>
    <w:rsid w:val="006E298E"/>
    <w:rsid w:val="006E6E60"/>
    <w:rsid w:val="006F53E8"/>
    <w:rsid w:val="006F6BD4"/>
    <w:rsid w:val="00700E64"/>
    <w:rsid w:val="007014AC"/>
    <w:rsid w:val="007068F8"/>
    <w:rsid w:val="00710B89"/>
    <w:rsid w:val="00711713"/>
    <w:rsid w:val="00712B65"/>
    <w:rsid w:val="0071498D"/>
    <w:rsid w:val="00720F0E"/>
    <w:rsid w:val="00721B93"/>
    <w:rsid w:val="00727C65"/>
    <w:rsid w:val="00727D74"/>
    <w:rsid w:val="00735748"/>
    <w:rsid w:val="007367A5"/>
    <w:rsid w:val="007604A7"/>
    <w:rsid w:val="0076679D"/>
    <w:rsid w:val="00771899"/>
    <w:rsid w:val="00777B0B"/>
    <w:rsid w:val="00792DDA"/>
    <w:rsid w:val="00794565"/>
    <w:rsid w:val="00794F6D"/>
    <w:rsid w:val="007A0B96"/>
    <w:rsid w:val="007A40E5"/>
    <w:rsid w:val="007A5828"/>
    <w:rsid w:val="007B59C7"/>
    <w:rsid w:val="007B691A"/>
    <w:rsid w:val="007B7EA7"/>
    <w:rsid w:val="007C3E56"/>
    <w:rsid w:val="007C5DB8"/>
    <w:rsid w:val="007C610A"/>
    <w:rsid w:val="007D0D39"/>
    <w:rsid w:val="007F103F"/>
    <w:rsid w:val="00800D61"/>
    <w:rsid w:val="008059CA"/>
    <w:rsid w:val="00820EA3"/>
    <w:rsid w:val="0082246C"/>
    <w:rsid w:val="00834E71"/>
    <w:rsid w:val="008358D6"/>
    <w:rsid w:val="0083606C"/>
    <w:rsid w:val="00836219"/>
    <w:rsid w:val="00837450"/>
    <w:rsid w:val="008412F4"/>
    <w:rsid w:val="00842E49"/>
    <w:rsid w:val="008477AF"/>
    <w:rsid w:val="0085292D"/>
    <w:rsid w:val="00854B5A"/>
    <w:rsid w:val="00855118"/>
    <w:rsid w:val="00860556"/>
    <w:rsid w:val="00871F4D"/>
    <w:rsid w:val="00894EFA"/>
    <w:rsid w:val="008A0B1E"/>
    <w:rsid w:val="008A0B66"/>
    <w:rsid w:val="008A1F8F"/>
    <w:rsid w:val="008A3ABF"/>
    <w:rsid w:val="008A4A2A"/>
    <w:rsid w:val="008A6155"/>
    <w:rsid w:val="008C0503"/>
    <w:rsid w:val="008C0B6C"/>
    <w:rsid w:val="008C0E12"/>
    <w:rsid w:val="008D439A"/>
    <w:rsid w:val="008D6FC5"/>
    <w:rsid w:val="008E45A7"/>
    <w:rsid w:val="008F2194"/>
    <w:rsid w:val="008F68EA"/>
    <w:rsid w:val="008F73B0"/>
    <w:rsid w:val="00901616"/>
    <w:rsid w:val="00903EEF"/>
    <w:rsid w:val="00904C3D"/>
    <w:rsid w:val="009077B7"/>
    <w:rsid w:val="00907FFD"/>
    <w:rsid w:val="009114B6"/>
    <w:rsid w:val="009165D2"/>
    <w:rsid w:val="0092224F"/>
    <w:rsid w:val="00925A1A"/>
    <w:rsid w:val="00926097"/>
    <w:rsid w:val="00935DC3"/>
    <w:rsid w:val="00940EA7"/>
    <w:rsid w:val="00950C0C"/>
    <w:rsid w:val="009519AF"/>
    <w:rsid w:val="00960345"/>
    <w:rsid w:val="00965D43"/>
    <w:rsid w:val="00970F5A"/>
    <w:rsid w:val="0099056C"/>
    <w:rsid w:val="0099147E"/>
    <w:rsid w:val="00993B71"/>
    <w:rsid w:val="00993DB8"/>
    <w:rsid w:val="009A4C3B"/>
    <w:rsid w:val="009A5EBE"/>
    <w:rsid w:val="009B0992"/>
    <w:rsid w:val="009B0A9B"/>
    <w:rsid w:val="009B1670"/>
    <w:rsid w:val="009B6938"/>
    <w:rsid w:val="009B716D"/>
    <w:rsid w:val="009C0E15"/>
    <w:rsid w:val="009C39A4"/>
    <w:rsid w:val="009C65BC"/>
    <w:rsid w:val="009C6797"/>
    <w:rsid w:val="009D183B"/>
    <w:rsid w:val="00A10CC7"/>
    <w:rsid w:val="00A12A08"/>
    <w:rsid w:val="00A40F7F"/>
    <w:rsid w:val="00A4611E"/>
    <w:rsid w:val="00A4694A"/>
    <w:rsid w:val="00A565E5"/>
    <w:rsid w:val="00A64EA9"/>
    <w:rsid w:val="00A75727"/>
    <w:rsid w:val="00A7704E"/>
    <w:rsid w:val="00A8110F"/>
    <w:rsid w:val="00A95915"/>
    <w:rsid w:val="00AA2495"/>
    <w:rsid w:val="00AA5B44"/>
    <w:rsid w:val="00AB6093"/>
    <w:rsid w:val="00AC3264"/>
    <w:rsid w:val="00AD0517"/>
    <w:rsid w:val="00AD170C"/>
    <w:rsid w:val="00AD5373"/>
    <w:rsid w:val="00AD7A53"/>
    <w:rsid w:val="00AE7553"/>
    <w:rsid w:val="00AF479D"/>
    <w:rsid w:val="00AF5215"/>
    <w:rsid w:val="00B01F34"/>
    <w:rsid w:val="00B0414B"/>
    <w:rsid w:val="00B12DBC"/>
    <w:rsid w:val="00B1784D"/>
    <w:rsid w:val="00B22991"/>
    <w:rsid w:val="00B2506B"/>
    <w:rsid w:val="00B3104A"/>
    <w:rsid w:val="00B34FDC"/>
    <w:rsid w:val="00B60BEF"/>
    <w:rsid w:val="00B65574"/>
    <w:rsid w:val="00B657B6"/>
    <w:rsid w:val="00B7164A"/>
    <w:rsid w:val="00B722F0"/>
    <w:rsid w:val="00B76EE8"/>
    <w:rsid w:val="00B77230"/>
    <w:rsid w:val="00B804AC"/>
    <w:rsid w:val="00B82C8C"/>
    <w:rsid w:val="00B90EA1"/>
    <w:rsid w:val="00BA6327"/>
    <w:rsid w:val="00BB7179"/>
    <w:rsid w:val="00BC21D1"/>
    <w:rsid w:val="00BD2EF1"/>
    <w:rsid w:val="00BD37E6"/>
    <w:rsid w:val="00BD59F9"/>
    <w:rsid w:val="00BD60DC"/>
    <w:rsid w:val="00BE2E26"/>
    <w:rsid w:val="00BE3134"/>
    <w:rsid w:val="00BF4745"/>
    <w:rsid w:val="00BF4915"/>
    <w:rsid w:val="00BF584A"/>
    <w:rsid w:val="00C031AA"/>
    <w:rsid w:val="00C1289B"/>
    <w:rsid w:val="00C22648"/>
    <w:rsid w:val="00C30391"/>
    <w:rsid w:val="00C407AC"/>
    <w:rsid w:val="00C43E63"/>
    <w:rsid w:val="00C46231"/>
    <w:rsid w:val="00C46329"/>
    <w:rsid w:val="00C47150"/>
    <w:rsid w:val="00C53E33"/>
    <w:rsid w:val="00C55CBD"/>
    <w:rsid w:val="00C57A6B"/>
    <w:rsid w:val="00C61FCA"/>
    <w:rsid w:val="00C7091F"/>
    <w:rsid w:val="00C71ACE"/>
    <w:rsid w:val="00C72BD9"/>
    <w:rsid w:val="00C9463C"/>
    <w:rsid w:val="00C94C64"/>
    <w:rsid w:val="00C95E5A"/>
    <w:rsid w:val="00CA07C7"/>
    <w:rsid w:val="00CA5EAE"/>
    <w:rsid w:val="00CB3B45"/>
    <w:rsid w:val="00CC1C47"/>
    <w:rsid w:val="00CC5E01"/>
    <w:rsid w:val="00CC74A5"/>
    <w:rsid w:val="00CD0748"/>
    <w:rsid w:val="00CD3E03"/>
    <w:rsid w:val="00CD44D8"/>
    <w:rsid w:val="00CD546C"/>
    <w:rsid w:val="00CE37D0"/>
    <w:rsid w:val="00CF7689"/>
    <w:rsid w:val="00D02054"/>
    <w:rsid w:val="00D03DFC"/>
    <w:rsid w:val="00D07483"/>
    <w:rsid w:val="00D10FC1"/>
    <w:rsid w:val="00D14D19"/>
    <w:rsid w:val="00D2370F"/>
    <w:rsid w:val="00D51215"/>
    <w:rsid w:val="00D637DF"/>
    <w:rsid w:val="00D63C1A"/>
    <w:rsid w:val="00D6479D"/>
    <w:rsid w:val="00D758C3"/>
    <w:rsid w:val="00D75FD8"/>
    <w:rsid w:val="00D85F4F"/>
    <w:rsid w:val="00D900E4"/>
    <w:rsid w:val="00D916AD"/>
    <w:rsid w:val="00D97266"/>
    <w:rsid w:val="00DA036D"/>
    <w:rsid w:val="00DA621C"/>
    <w:rsid w:val="00DA7D0D"/>
    <w:rsid w:val="00DB4DD5"/>
    <w:rsid w:val="00DC0B48"/>
    <w:rsid w:val="00DC1946"/>
    <w:rsid w:val="00DC4472"/>
    <w:rsid w:val="00DC536B"/>
    <w:rsid w:val="00DD4937"/>
    <w:rsid w:val="00DD54D8"/>
    <w:rsid w:val="00DD61C1"/>
    <w:rsid w:val="00DD65A1"/>
    <w:rsid w:val="00DE7605"/>
    <w:rsid w:val="00DF4CF5"/>
    <w:rsid w:val="00E03FF3"/>
    <w:rsid w:val="00E1328E"/>
    <w:rsid w:val="00E13FDC"/>
    <w:rsid w:val="00E16BEF"/>
    <w:rsid w:val="00E21657"/>
    <w:rsid w:val="00E45AB5"/>
    <w:rsid w:val="00E50B99"/>
    <w:rsid w:val="00E50D0B"/>
    <w:rsid w:val="00E536F5"/>
    <w:rsid w:val="00E53802"/>
    <w:rsid w:val="00E6312F"/>
    <w:rsid w:val="00E63B4C"/>
    <w:rsid w:val="00E645A1"/>
    <w:rsid w:val="00E66E35"/>
    <w:rsid w:val="00E702E8"/>
    <w:rsid w:val="00E7101C"/>
    <w:rsid w:val="00E7117D"/>
    <w:rsid w:val="00E71444"/>
    <w:rsid w:val="00E757F9"/>
    <w:rsid w:val="00E759AD"/>
    <w:rsid w:val="00E76779"/>
    <w:rsid w:val="00E83080"/>
    <w:rsid w:val="00E90113"/>
    <w:rsid w:val="00E9164B"/>
    <w:rsid w:val="00E9212A"/>
    <w:rsid w:val="00E9474F"/>
    <w:rsid w:val="00E96E3E"/>
    <w:rsid w:val="00EA7599"/>
    <w:rsid w:val="00EB0881"/>
    <w:rsid w:val="00EC4AD7"/>
    <w:rsid w:val="00EC5924"/>
    <w:rsid w:val="00EC706B"/>
    <w:rsid w:val="00EC7600"/>
    <w:rsid w:val="00ED2745"/>
    <w:rsid w:val="00EE6CF2"/>
    <w:rsid w:val="00EF1F01"/>
    <w:rsid w:val="00EF3FDB"/>
    <w:rsid w:val="00EF6980"/>
    <w:rsid w:val="00F011A7"/>
    <w:rsid w:val="00F02C77"/>
    <w:rsid w:val="00F039C0"/>
    <w:rsid w:val="00F14404"/>
    <w:rsid w:val="00F15D4E"/>
    <w:rsid w:val="00F167A9"/>
    <w:rsid w:val="00F17D4C"/>
    <w:rsid w:val="00F376FA"/>
    <w:rsid w:val="00F41E4C"/>
    <w:rsid w:val="00F42CC6"/>
    <w:rsid w:val="00F50796"/>
    <w:rsid w:val="00F52E5B"/>
    <w:rsid w:val="00F54B34"/>
    <w:rsid w:val="00F550F8"/>
    <w:rsid w:val="00F61630"/>
    <w:rsid w:val="00F71BBC"/>
    <w:rsid w:val="00F75259"/>
    <w:rsid w:val="00F77547"/>
    <w:rsid w:val="00F77DFF"/>
    <w:rsid w:val="00F85C2E"/>
    <w:rsid w:val="00F869F8"/>
    <w:rsid w:val="00F87EAF"/>
    <w:rsid w:val="00F96D04"/>
    <w:rsid w:val="00FA7060"/>
    <w:rsid w:val="00FA7900"/>
    <w:rsid w:val="00FB2564"/>
    <w:rsid w:val="00FB48D3"/>
    <w:rsid w:val="00FB6DAB"/>
    <w:rsid w:val="00FC0826"/>
    <w:rsid w:val="00FC0860"/>
    <w:rsid w:val="00FC1AF2"/>
    <w:rsid w:val="00FC436D"/>
    <w:rsid w:val="00FC7F3D"/>
    <w:rsid w:val="00FD23A0"/>
    <w:rsid w:val="00FD33A5"/>
    <w:rsid w:val="00FD380D"/>
    <w:rsid w:val="00FE3601"/>
    <w:rsid w:val="00FE4240"/>
    <w:rsid w:val="00FE5563"/>
    <w:rsid w:val="00FE5E8E"/>
    <w:rsid w:val="00FF60C4"/>
    <w:rsid w:val="00FF6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5FFC"/>
  <w15:chartTrackingRefBased/>
  <w15:docId w15:val="{740E8816-6A3E-4BED-8138-A9729873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653BF"/>
    <w:pPr>
      <w:keepNext/>
      <w:keepLines/>
      <w:pageBreakBefore/>
      <w:numPr>
        <w:numId w:val="2"/>
      </w:numPr>
      <w:spacing w:before="120" w:after="120" w:line="240" w:lineRule="auto"/>
      <w:outlineLvl w:val="0"/>
    </w:pPr>
    <w:rPr>
      <w:rFonts w:ascii="Times New Roman" w:eastAsia="Times New Roman" w:hAnsi="Times New Roman" w:cs="Times New Roman"/>
      <w:b/>
      <w:kern w:val="28"/>
      <w:sz w:val="28"/>
      <w:szCs w:val="28"/>
    </w:rPr>
  </w:style>
  <w:style w:type="paragraph" w:styleId="Heading2">
    <w:name w:val="heading 2"/>
    <w:next w:val="Normal"/>
    <w:link w:val="Heading2Char"/>
    <w:qFormat/>
    <w:rsid w:val="005653BF"/>
    <w:pPr>
      <w:keepNext/>
      <w:numPr>
        <w:ilvl w:val="1"/>
        <w:numId w:val="2"/>
      </w:numPr>
      <w:spacing w:before="240" w:after="120" w:line="240" w:lineRule="auto"/>
      <w:outlineLvl w:val="1"/>
    </w:pPr>
    <w:rPr>
      <w:rFonts w:ascii="Times New Roman" w:eastAsia="Times New Roman" w:hAnsi="Times New Roman" w:cs="Times New Roman"/>
      <w:b/>
      <w:kern w:val="28"/>
      <w:sz w:val="28"/>
      <w:szCs w:val="28"/>
    </w:rPr>
  </w:style>
  <w:style w:type="paragraph" w:styleId="Heading3">
    <w:name w:val="heading 3"/>
    <w:next w:val="Normal"/>
    <w:link w:val="Heading3Char"/>
    <w:qFormat/>
    <w:rsid w:val="005653BF"/>
    <w:pPr>
      <w:keepNext/>
      <w:numPr>
        <w:ilvl w:val="2"/>
        <w:numId w:val="2"/>
      </w:numPr>
      <w:spacing w:before="240" w:after="120" w:line="240" w:lineRule="auto"/>
      <w:outlineLvl w:val="2"/>
    </w:pPr>
    <w:rPr>
      <w:rFonts w:ascii="Times New Roman" w:eastAsia="Times New Roman" w:hAnsi="Times New Roman" w:cs="Times New Roman"/>
      <w:b/>
      <w:kern w:val="28"/>
      <w:sz w:val="28"/>
      <w:szCs w:val="28"/>
    </w:rPr>
  </w:style>
  <w:style w:type="paragraph" w:styleId="Heading4">
    <w:name w:val="heading 4"/>
    <w:next w:val="Normal"/>
    <w:link w:val="Heading4Char"/>
    <w:qFormat/>
    <w:rsid w:val="005653BF"/>
    <w:pPr>
      <w:keepNext/>
      <w:numPr>
        <w:ilvl w:val="3"/>
        <w:numId w:val="2"/>
      </w:numPr>
      <w:spacing w:before="240" w:after="120" w:line="240" w:lineRule="auto"/>
      <w:outlineLvl w:val="3"/>
    </w:pPr>
    <w:rPr>
      <w:rFonts w:ascii="Times New Roman" w:eastAsia="Times New Roman" w:hAnsi="Times New Roman" w:cs="Times New Roman"/>
      <w:b/>
      <w:kern w:val="28"/>
      <w:sz w:val="28"/>
      <w:szCs w:val="28"/>
    </w:rPr>
  </w:style>
  <w:style w:type="paragraph" w:styleId="Heading5">
    <w:name w:val="heading 5"/>
    <w:basedOn w:val="Heading1"/>
    <w:next w:val="Normal"/>
    <w:link w:val="Heading5Char"/>
    <w:qFormat/>
    <w:rsid w:val="005653BF"/>
    <w:pPr>
      <w:numPr>
        <w:ilvl w:val="4"/>
      </w:numPr>
      <w:tabs>
        <w:tab w:val="left" w:pos="1296"/>
      </w:tabs>
      <w:outlineLvl w:val="4"/>
    </w:pPr>
  </w:style>
  <w:style w:type="paragraph" w:styleId="Heading6">
    <w:name w:val="heading 6"/>
    <w:basedOn w:val="Heading1"/>
    <w:next w:val="Normal"/>
    <w:link w:val="Heading6Char"/>
    <w:qFormat/>
    <w:rsid w:val="005653BF"/>
    <w:pPr>
      <w:numPr>
        <w:ilvl w:val="5"/>
      </w:numPr>
      <w:tabs>
        <w:tab w:val="left" w:pos="1490"/>
      </w:tabs>
      <w:outlineLvl w:val="5"/>
    </w:pPr>
  </w:style>
  <w:style w:type="paragraph" w:styleId="Heading7">
    <w:name w:val="heading 7"/>
    <w:basedOn w:val="Heading1"/>
    <w:next w:val="Normal"/>
    <w:link w:val="Heading7Char"/>
    <w:qFormat/>
    <w:rsid w:val="005653BF"/>
    <w:pPr>
      <w:numPr>
        <w:ilvl w:val="6"/>
      </w:numPr>
      <w:tabs>
        <w:tab w:val="left" w:pos="1670"/>
      </w:tabs>
      <w:outlineLvl w:val="6"/>
    </w:pPr>
  </w:style>
  <w:style w:type="paragraph" w:styleId="Heading8">
    <w:name w:val="heading 8"/>
    <w:basedOn w:val="Heading1"/>
    <w:next w:val="Normal"/>
    <w:link w:val="Heading8Char"/>
    <w:qFormat/>
    <w:rsid w:val="005653BF"/>
    <w:pPr>
      <w:numPr>
        <w:ilvl w:val="7"/>
      </w:numPr>
      <w:tabs>
        <w:tab w:val="left" w:pos="1836"/>
      </w:tabs>
      <w:outlineLvl w:val="7"/>
    </w:pPr>
  </w:style>
  <w:style w:type="paragraph" w:styleId="Heading9">
    <w:name w:val="heading 9"/>
    <w:basedOn w:val="Heading1"/>
    <w:next w:val="Normal"/>
    <w:link w:val="Heading9Char"/>
    <w:qFormat/>
    <w:rsid w:val="005653BF"/>
    <w:pPr>
      <w:numPr>
        <w:ilvl w:val="8"/>
      </w:numPr>
      <w:tabs>
        <w:tab w:val="left" w:pos="1987"/>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462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4624A"/>
  </w:style>
  <w:style w:type="character" w:customStyle="1" w:styleId="eop">
    <w:name w:val="eop"/>
    <w:basedOn w:val="DefaultParagraphFont"/>
    <w:rsid w:val="0024624A"/>
  </w:style>
  <w:style w:type="paragraph" w:styleId="Revision">
    <w:name w:val="Revision"/>
    <w:hidden/>
    <w:uiPriority w:val="99"/>
    <w:semiHidden/>
    <w:rsid w:val="00015E59"/>
    <w:pPr>
      <w:spacing w:after="0" w:line="240" w:lineRule="auto"/>
    </w:pPr>
  </w:style>
  <w:style w:type="character" w:styleId="Hyperlink">
    <w:name w:val="Hyperlink"/>
    <w:basedOn w:val="DefaultParagraphFont"/>
    <w:uiPriority w:val="99"/>
    <w:unhideWhenUsed/>
    <w:rsid w:val="00CA5EAE"/>
    <w:rPr>
      <w:color w:val="0563C1" w:themeColor="hyperlink"/>
      <w:u w:val="single"/>
    </w:rPr>
  </w:style>
  <w:style w:type="character" w:styleId="UnresolvedMention">
    <w:name w:val="Unresolved Mention"/>
    <w:basedOn w:val="DefaultParagraphFont"/>
    <w:uiPriority w:val="99"/>
    <w:semiHidden/>
    <w:unhideWhenUsed/>
    <w:rsid w:val="00CA5EAE"/>
    <w:rPr>
      <w:color w:val="605E5C"/>
      <w:shd w:val="clear" w:color="auto" w:fill="E1DFDD"/>
    </w:rPr>
  </w:style>
  <w:style w:type="paragraph" w:customStyle="1" w:styleId="Text">
    <w:name w:val="Text"/>
    <w:aliases w:val="Graphic"/>
    <w:basedOn w:val="Normal"/>
    <w:link w:val="TextChar"/>
    <w:qFormat/>
    <w:rsid w:val="00454841"/>
    <w:pPr>
      <w:tabs>
        <w:tab w:val="left" w:pos="1080"/>
      </w:tabs>
      <w:suppressAutoHyphens/>
      <w:spacing w:after="240" w:line="300" w:lineRule="auto"/>
    </w:pPr>
    <w:rPr>
      <w:rFonts w:ascii="Times New Roman" w:eastAsia="Times New Roman" w:hAnsi="Times New Roman" w:cs="Times New Roman"/>
      <w:sz w:val="24"/>
      <w:szCs w:val="24"/>
    </w:rPr>
  </w:style>
  <w:style w:type="character" w:customStyle="1" w:styleId="TextChar">
    <w:name w:val="Text Char"/>
    <w:link w:val="Text"/>
    <w:rsid w:val="00454841"/>
    <w:rPr>
      <w:rFonts w:ascii="Times New Roman" w:eastAsia="Times New Roman" w:hAnsi="Times New Roman" w:cs="Times New Roman"/>
      <w:sz w:val="24"/>
      <w:szCs w:val="24"/>
    </w:rPr>
  </w:style>
  <w:style w:type="paragraph" w:customStyle="1" w:styleId="-BodyText">
    <w:name w:val="- Body Text"/>
    <w:rsid w:val="00A4611E"/>
    <w:pPr>
      <w:spacing w:before="200" w:after="200" w:line="320" w:lineRule="atLeast"/>
      <w:jc w:val="both"/>
    </w:pPr>
    <w:rPr>
      <w:rFonts w:ascii="Times New Roman" w:eastAsia="MS Mincho" w:hAnsi="Times New Roman" w:cs="Times New Roman"/>
      <w:color w:val="000000"/>
      <w:sz w:val="24"/>
      <w:szCs w:val="24"/>
    </w:rPr>
  </w:style>
  <w:style w:type="character" w:customStyle="1" w:styleId="Heading1Char">
    <w:name w:val="Heading 1 Char"/>
    <w:basedOn w:val="DefaultParagraphFont"/>
    <w:link w:val="Heading1"/>
    <w:rsid w:val="005653BF"/>
    <w:rPr>
      <w:rFonts w:ascii="Times New Roman" w:eastAsia="Times New Roman" w:hAnsi="Times New Roman" w:cs="Times New Roman"/>
      <w:b/>
      <w:kern w:val="28"/>
      <w:sz w:val="28"/>
      <w:szCs w:val="28"/>
    </w:rPr>
  </w:style>
  <w:style w:type="character" w:customStyle="1" w:styleId="Heading2Char">
    <w:name w:val="Heading 2 Char"/>
    <w:basedOn w:val="DefaultParagraphFont"/>
    <w:link w:val="Heading2"/>
    <w:rsid w:val="005653BF"/>
    <w:rPr>
      <w:rFonts w:ascii="Times New Roman" w:eastAsia="Times New Roman" w:hAnsi="Times New Roman" w:cs="Times New Roman"/>
      <w:b/>
      <w:kern w:val="28"/>
      <w:sz w:val="28"/>
      <w:szCs w:val="28"/>
    </w:rPr>
  </w:style>
  <w:style w:type="character" w:customStyle="1" w:styleId="Heading3Char">
    <w:name w:val="Heading 3 Char"/>
    <w:basedOn w:val="DefaultParagraphFont"/>
    <w:link w:val="Heading3"/>
    <w:rsid w:val="005653BF"/>
    <w:rPr>
      <w:rFonts w:ascii="Times New Roman" w:eastAsia="Times New Roman" w:hAnsi="Times New Roman" w:cs="Times New Roman"/>
      <w:b/>
      <w:kern w:val="28"/>
      <w:sz w:val="28"/>
      <w:szCs w:val="28"/>
    </w:rPr>
  </w:style>
  <w:style w:type="character" w:customStyle="1" w:styleId="Heading4Char">
    <w:name w:val="Heading 4 Char"/>
    <w:basedOn w:val="DefaultParagraphFont"/>
    <w:link w:val="Heading4"/>
    <w:rsid w:val="005653BF"/>
    <w:rPr>
      <w:rFonts w:ascii="Times New Roman" w:eastAsia="Times New Roman" w:hAnsi="Times New Roman" w:cs="Times New Roman"/>
      <w:b/>
      <w:kern w:val="28"/>
      <w:sz w:val="28"/>
      <w:szCs w:val="28"/>
    </w:rPr>
  </w:style>
  <w:style w:type="character" w:customStyle="1" w:styleId="Heading5Char">
    <w:name w:val="Heading 5 Char"/>
    <w:basedOn w:val="DefaultParagraphFont"/>
    <w:link w:val="Heading5"/>
    <w:rsid w:val="005653BF"/>
    <w:rPr>
      <w:rFonts w:ascii="Times New Roman" w:eastAsia="Times New Roman" w:hAnsi="Times New Roman" w:cs="Times New Roman"/>
      <w:b/>
      <w:kern w:val="28"/>
      <w:sz w:val="28"/>
      <w:szCs w:val="28"/>
    </w:rPr>
  </w:style>
  <w:style w:type="character" w:customStyle="1" w:styleId="Heading6Char">
    <w:name w:val="Heading 6 Char"/>
    <w:basedOn w:val="DefaultParagraphFont"/>
    <w:link w:val="Heading6"/>
    <w:rsid w:val="005653BF"/>
    <w:rPr>
      <w:rFonts w:ascii="Times New Roman" w:eastAsia="Times New Roman" w:hAnsi="Times New Roman" w:cs="Times New Roman"/>
      <w:b/>
      <w:kern w:val="28"/>
      <w:sz w:val="28"/>
      <w:szCs w:val="28"/>
    </w:rPr>
  </w:style>
  <w:style w:type="character" w:customStyle="1" w:styleId="Heading7Char">
    <w:name w:val="Heading 7 Char"/>
    <w:basedOn w:val="DefaultParagraphFont"/>
    <w:link w:val="Heading7"/>
    <w:rsid w:val="005653BF"/>
    <w:rPr>
      <w:rFonts w:ascii="Times New Roman" w:eastAsia="Times New Roman" w:hAnsi="Times New Roman" w:cs="Times New Roman"/>
      <w:b/>
      <w:kern w:val="28"/>
      <w:sz w:val="28"/>
      <w:szCs w:val="28"/>
    </w:rPr>
  </w:style>
  <w:style w:type="character" w:customStyle="1" w:styleId="Heading8Char">
    <w:name w:val="Heading 8 Char"/>
    <w:basedOn w:val="DefaultParagraphFont"/>
    <w:link w:val="Heading8"/>
    <w:rsid w:val="005653BF"/>
    <w:rPr>
      <w:rFonts w:ascii="Times New Roman" w:eastAsia="Times New Roman" w:hAnsi="Times New Roman" w:cs="Times New Roman"/>
      <w:b/>
      <w:kern w:val="28"/>
      <w:sz w:val="28"/>
      <w:szCs w:val="28"/>
    </w:rPr>
  </w:style>
  <w:style w:type="character" w:customStyle="1" w:styleId="Heading9Char">
    <w:name w:val="Heading 9 Char"/>
    <w:basedOn w:val="DefaultParagraphFont"/>
    <w:link w:val="Heading9"/>
    <w:rsid w:val="005653BF"/>
    <w:rPr>
      <w:rFonts w:ascii="Times New Roman" w:eastAsia="Times New Roman" w:hAnsi="Times New Roman" w:cs="Times New Roman"/>
      <w:b/>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285689">
      <w:bodyDiv w:val="1"/>
      <w:marLeft w:val="0"/>
      <w:marRight w:val="0"/>
      <w:marTop w:val="0"/>
      <w:marBottom w:val="0"/>
      <w:divBdr>
        <w:top w:val="none" w:sz="0" w:space="0" w:color="auto"/>
        <w:left w:val="none" w:sz="0" w:space="0" w:color="auto"/>
        <w:bottom w:val="none" w:sz="0" w:space="0" w:color="auto"/>
        <w:right w:val="none" w:sz="0" w:space="0" w:color="auto"/>
      </w:divBdr>
      <w:divsChild>
        <w:div w:id="1489322300">
          <w:marLeft w:val="0"/>
          <w:marRight w:val="0"/>
          <w:marTop w:val="0"/>
          <w:marBottom w:val="0"/>
          <w:divBdr>
            <w:top w:val="none" w:sz="0" w:space="0" w:color="auto"/>
            <w:left w:val="none" w:sz="0" w:space="0" w:color="auto"/>
            <w:bottom w:val="none" w:sz="0" w:space="0" w:color="auto"/>
            <w:right w:val="none" w:sz="0" w:space="0" w:color="auto"/>
          </w:divBdr>
        </w:div>
        <w:div w:id="594704241">
          <w:marLeft w:val="0"/>
          <w:marRight w:val="0"/>
          <w:marTop w:val="0"/>
          <w:marBottom w:val="0"/>
          <w:divBdr>
            <w:top w:val="none" w:sz="0" w:space="0" w:color="auto"/>
            <w:left w:val="none" w:sz="0" w:space="0" w:color="auto"/>
            <w:bottom w:val="none" w:sz="0" w:space="0" w:color="auto"/>
            <w:right w:val="none" w:sz="0" w:space="0" w:color="auto"/>
          </w:divBdr>
        </w:div>
        <w:div w:id="1196651914">
          <w:marLeft w:val="0"/>
          <w:marRight w:val="0"/>
          <w:marTop w:val="0"/>
          <w:marBottom w:val="0"/>
          <w:divBdr>
            <w:top w:val="none" w:sz="0" w:space="0" w:color="auto"/>
            <w:left w:val="none" w:sz="0" w:space="0" w:color="auto"/>
            <w:bottom w:val="none" w:sz="0" w:space="0" w:color="auto"/>
            <w:right w:val="none" w:sz="0" w:space="0" w:color="auto"/>
          </w:divBdr>
        </w:div>
        <w:div w:id="1799257049">
          <w:marLeft w:val="0"/>
          <w:marRight w:val="0"/>
          <w:marTop w:val="0"/>
          <w:marBottom w:val="0"/>
          <w:divBdr>
            <w:top w:val="none" w:sz="0" w:space="0" w:color="auto"/>
            <w:left w:val="none" w:sz="0" w:space="0" w:color="auto"/>
            <w:bottom w:val="none" w:sz="0" w:space="0" w:color="auto"/>
            <w:right w:val="none" w:sz="0" w:space="0" w:color="auto"/>
          </w:divBdr>
        </w:div>
        <w:div w:id="1904290760">
          <w:marLeft w:val="0"/>
          <w:marRight w:val="0"/>
          <w:marTop w:val="0"/>
          <w:marBottom w:val="0"/>
          <w:divBdr>
            <w:top w:val="none" w:sz="0" w:space="0" w:color="auto"/>
            <w:left w:val="none" w:sz="0" w:space="0" w:color="auto"/>
            <w:bottom w:val="none" w:sz="0" w:space="0" w:color="auto"/>
            <w:right w:val="none" w:sz="0" w:space="0" w:color="auto"/>
          </w:divBdr>
        </w:div>
        <w:div w:id="534123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Tapolsky</dc:creator>
  <cp:keywords/>
  <dc:description/>
  <cp:lastModifiedBy>Gilles Tapolsky</cp:lastModifiedBy>
  <cp:revision>2</cp:revision>
  <dcterms:created xsi:type="dcterms:W3CDTF">2023-11-16T12:53:00Z</dcterms:created>
  <dcterms:modified xsi:type="dcterms:W3CDTF">2023-11-16T12:53:00Z</dcterms:modified>
</cp:coreProperties>
</file>